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left"/>
        <w:rPr>
          <w:rFonts w:hint="default" w:ascii="Calibri" w:hAnsi="Calibri" w:eastAsia="sans-serif" w:cs="Calibri"/>
          <w:i w:val="0"/>
          <w:iCs w:val="0"/>
          <w:caps w:val="0"/>
          <w:color w:val="6F727D"/>
          <w:spacing w:val="10"/>
          <w:sz w:val="18"/>
          <w:szCs w:val="18"/>
          <w:u w:val="none"/>
        </w:rPr>
      </w:pPr>
      <w:bookmarkStart w:id="0" w:name="_GoBack"/>
      <w:bookmarkEnd w:id="0"/>
      <w:r>
        <w:rPr>
          <w:rFonts w:hint="default" w:ascii="Calibri" w:hAnsi="Calibri" w:eastAsia="Georgia" w:cs="Calibri"/>
          <w:i w:val="0"/>
          <w:iCs w:val="0"/>
          <w:caps w:val="0"/>
          <w:color w:val="6F727D"/>
          <w:spacing w:val="10"/>
          <w:sz w:val="18"/>
          <w:szCs w:val="18"/>
          <w:u w:val="none"/>
          <w:shd w:val="clear" w:fill="FFFFFF"/>
        </w:rPr>
        <w:t>DB Schenker </w:t>
      </w:r>
    </w:p>
    <w:p>
      <w:pP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OEG</w:t>
      </w:r>
    </w:p>
    <w:p>
      <w:pPr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Tica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Paack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Geek+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CJ Logistics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PopPick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ALPEN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LIFE365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Stork Up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A&amp;D Pharma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Ariat International, Inc.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Decathlon</w:t>
      </w:r>
    </w:p>
    <w:p>
      <w:pPr>
        <w:spacing w:line="240" w:lineRule="auto"/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eastAsia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Verte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Catch.com.au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Siemens Switchgear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ASDA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Konica Minolta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INLAYLINK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Banggood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MW Logistics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Winit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eStore Logistics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DSV 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Nike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Walmart 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Yanfeng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ACCA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ALP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Empower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Dell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NISSA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Bosideng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"https://blog.geekplus.com/case-studies/vipshop-introduces-goods-to-person-picking-method-tripling-the-picking-efficiency-by-3-times" </w:instrText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Vipshop</w:t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instrText xml:space="preserve"> HYPERLINK "https://blog.geekplus.com/case-studies/suning-logistics-smoothly-operates-intelligent-warehouse-greatly-improving-picking-efficiency-and-accuracy" </w:instrText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Suning Logistics</w:t>
      </w: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fldChar w:fldCharType="end"/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Yonghui Superstore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Sinopharm Logistics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  <w: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  <w:t>Jointown Pharmaceutical </w:t>
      </w:r>
    </w:p>
    <w:p>
      <w:pPr>
        <w:spacing w:line="240" w:lineRule="auto"/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 w:ascii="Calibri" w:hAnsi="Calibri" w:eastAsia="Georgia" w:cs="Calibri"/>
          <w:b/>
          <w:bCs/>
          <w:i w:val="0"/>
          <w:iCs w:val="0"/>
          <w:caps w:val="0"/>
          <w:color w:val="6F727D"/>
          <w:spacing w:val="10"/>
          <w:kern w:val="0"/>
          <w:sz w:val="18"/>
          <w:szCs w:val="18"/>
          <w:u w:val="none"/>
          <w:shd w:val="clear" w:fill="FFFFFF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729355"/>
          <wp:effectExtent l="0" t="0" r="2540" b="4445"/>
          <wp:wrapNone/>
          <wp:docPr id="1" name="WordPictureWatermark25632" descr="伟佳矢量 logo_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5632" descr="伟佳矢量 logo_00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72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Dg0MzY5NDc4Mjk0MGFmZGMzYmQ1ODJkOTg5NDkifQ=="/>
  </w:docVars>
  <w:rsids>
    <w:rsidRoot w:val="00000000"/>
    <w:rsid w:val="0C761654"/>
    <w:rsid w:val="0D9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335</Characters>
  <Lines>0</Lines>
  <Paragraphs>0</Paragraphs>
  <TotalTime>0</TotalTime>
  <ScaleCrop>false</ScaleCrop>
  <LinksUpToDate>false</LinksUpToDate>
  <CharactersWithSpaces>353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2023-08-02T06:07:00Z</dcterms:created>
  <dc:creator>tz01</dc:creator>
  <cp:lastModifiedBy>上海伟佳展览 Bettyliu</cp:lastModifiedBy>
  <dcterms:modified xsi:type="dcterms:W3CDTF">2023-08-08T01:31:27Z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FD4D51BA31F649AA8A028CEA66D21ADB_12</vt:lpwstr>
  </property>
</Properties>
</file>